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05C0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D57E000">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335C40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95D312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423971F">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83F91A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C157E96">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A27400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F68128B">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天津中医药大学第一附属医院2023年度部门决算</w:t>
      </w:r>
    </w:p>
    <w:p w14:paraId="1DB6523A">
      <w:pPr>
        <w:autoSpaceDE w:val="0"/>
        <w:autoSpaceDN w:val="0"/>
        <w:adjustRightInd w:val="0"/>
        <w:spacing w:line="580" w:lineRule="exact"/>
        <w:jc w:val="center"/>
        <w:rPr>
          <w:rFonts w:ascii="Times New Roman" w:hAnsi="Times New Roman" w:eastAsia="黑体" w:cs="黑体"/>
          <w:sz w:val="30"/>
          <w:szCs w:val="30"/>
          <w:highlight w:val="none"/>
        </w:rPr>
      </w:pPr>
    </w:p>
    <w:p w14:paraId="6FD0F1DB">
      <w:pPr>
        <w:autoSpaceDE w:val="0"/>
        <w:autoSpaceDN w:val="0"/>
        <w:adjustRightInd w:val="0"/>
        <w:spacing w:line="580" w:lineRule="exact"/>
        <w:jc w:val="center"/>
        <w:rPr>
          <w:rFonts w:ascii="Times New Roman" w:hAnsi="Times New Roman" w:eastAsia="黑体" w:cs="黑体"/>
          <w:sz w:val="30"/>
          <w:szCs w:val="30"/>
          <w:highlight w:val="none"/>
        </w:rPr>
      </w:pPr>
    </w:p>
    <w:p w14:paraId="34B62757">
      <w:pPr>
        <w:autoSpaceDE w:val="0"/>
        <w:autoSpaceDN w:val="0"/>
        <w:adjustRightInd w:val="0"/>
        <w:spacing w:line="580" w:lineRule="exact"/>
        <w:jc w:val="center"/>
        <w:rPr>
          <w:rFonts w:ascii="Times New Roman" w:hAnsi="Times New Roman" w:eastAsia="黑体" w:cs="黑体"/>
          <w:sz w:val="30"/>
          <w:szCs w:val="30"/>
          <w:highlight w:val="none"/>
        </w:rPr>
      </w:pPr>
    </w:p>
    <w:p w14:paraId="01251634">
      <w:pPr>
        <w:autoSpaceDE w:val="0"/>
        <w:autoSpaceDN w:val="0"/>
        <w:adjustRightInd w:val="0"/>
        <w:spacing w:line="580" w:lineRule="exact"/>
        <w:jc w:val="center"/>
        <w:rPr>
          <w:rFonts w:ascii="Times New Roman" w:hAnsi="Times New Roman" w:eastAsia="黑体" w:cs="黑体"/>
          <w:sz w:val="30"/>
          <w:szCs w:val="30"/>
          <w:highlight w:val="none"/>
        </w:rPr>
      </w:pPr>
    </w:p>
    <w:p w14:paraId="7A1E1EBA">
      <w:pPr>
        <w:autoSpaceDE w:val="0"/>
        <w:autoSpaceDN w:val="0"/>
        <w:adjustRightInd w:val="0"/>
        <w:spacing w:line="580" w:lineRule="exact"/>
        <w:jc w:val="center"/>
        <w:rPr>
          <w:rFonts w:ascii="Times New Roman" w:hAnsi="Times New Roman" w:eastAsia="黑体" w:cs="黑体"/>
          <w:sz w:val="30"/>
          <w:szCs w:val="30"/>
          <w:highlight w:val="none"/>
        </w:rPr>
      </w:pPr>
    </w:p>
    <w:p w14:paraId="06AD8459">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4EA38C63">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0B31FF91">
      <w:pPr>
        <w:autoSpaceDE w:val="0"/>
        <w:autoSpaceDN w:val="0"/>
        <w:adjustRightInd w:val="0"/>
        <w:spacing w:line="600" w:lineRule="exact"/>
        <w:jc w:val="left"/>
        <w:rPr>
          <w:rFonts w:ascii="Times New Roman" w:hAnsi="Times New Roman" w:eastAsia="黑体" w:cs="黑体"/>
          <w:kern w:val="0"/>
          <w:sz w:val="30"/>
          <w:szCs w:val="30"/>
          <w:highlight w:val="none"/>
        </w:rPr>
      </w:pPr>
    </w:p>
    <w:p w14:paraId="6101A7C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7165FC7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3556F38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492FFED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737E16F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11F1A26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2D7EE1C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5B0D7F2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4D5000E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4BA7A73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4F1031D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29150DE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793BCE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47CC1F5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1AABE65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4271729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2347DDC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21B1B7E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37B7F99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52CE699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567C9C1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36447A8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555A67D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40B1461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2307DB8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7F8B072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56BFFCA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5F30CC5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66ECC50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6A7AE8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343D0E6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1A705160">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3B2310FD">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532672D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07B9560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06E7BDB0">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以下简称医院）是天津中医药大学直属医院，是三级甲等综合医院。天津中医药大学第一附属医院为人民身体健康提供医疗与护理保健服务，包括医疗与护理、医学教学、医学研究、卫生医疗人员培训、卫生技术人员继续教育、保健与健康教育。</w:t>
      </w:r>
    </w:p>
    <w:p w14:paraId="7408E632">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208AA012">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天津中医药大学第一附属医院内设19个职能处室；下辖0个预算单位。纳入天津中医药大学第一附属医院2023年度部门决算编制范围的单位包括：</w:t>
      </w:r>
    </w:p>
    <w:p w14:paraId="23434EE4">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w:t>
      </w:r>
    </w:p>
    <w:p w14:paraId="66E02D73">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01710E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626C2F7B">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4CD47CA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51F8EF9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2C34295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1E84F02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0EF449B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5128D96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30676B1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28FE602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423975C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4527386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4FD451B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25660E7C">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3A9178F8">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20DA02C7">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1.天津中医药大学第一附属医院2023年度国有资本经营预算财政拨款收入支出决算表为空表。</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2.天津中医药大学第一附属医院2023年度财政拨款“三公”经费支出决算表为空表</w:t>
      </w:r>
    </w:p>
    <w:p w14:paraId="23DDD814">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30F053D2">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4C0FEF3E">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27014C4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60A65CF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天津中医药大学第一附属医院2023年度收入、支出决算总计</w:t>
      </w:r>
      <w:r>
        <w:rPr>
          <w:rFonts w:hint="eastAsia" w:ascii="Times New Roman" w:hAnsi="Times New Roman" w:eastAsia="仿宋_GB2312" w:cs="仿宋_GB2312"/>
          <w:sz w:val="30"/>
          <w:szCs w:val="30"/>
          <w:highlight w:val="none"/>
          <w:lang w:eastAsia="zh-CN"/>
        </w:rPr>
        <w:t>4,068,516,191.57元，与2022年度相比，收、支总计各增加1,421,222,928.81元，增长53.69%，</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：2023年医疗秩序恢复正常，事业收入增加。</w:t>
      </w:r>
    </w:p>
    <w:p w14:paraId="73CAFB7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038BCDB7">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2,901,766,436.06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增加357,500,060.10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2023年医疗秩序恢复正常，事业收入增加。</w:t>
      </w:r>
    </w:p>
    <w:p w14:paraId="58A14A7E">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121,060,820.98</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4.17</w:t>
      </w:r>
      <w:r>
        <w:rPr>
          <w:rFonts w:hint="eastAsia" w:ascii="Times New Roman" w:hAnsi="Times New Roman" w:eastAsia="宋体" w:cs="Times New Roman"/>
          <w:sz w:val="30"/>
          <w:szCs w:val="30"/>
          <w:highlight w:val="none"/>
          <w:lang w:eastAsia="zh-CN"/>
        </w:rPr>
        <w:t>%；</w:t>
      </w:r>
    </w:p>
    <w:p w14:paraId="38A875B7">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76,380,895.34元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2.63%；</w:t>
      </w:r>
    </w:p>
    <w:p w14:paraId="2F4BEDE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2,604,749,109.72元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89.</w:t>
      </w:r>
      <w:r>
        <w:rPr>
          <w:rFonts w:hint="eastAsia" w:ascii="Times New Roman" w:hAnsi="Times New Roman" w:eastAsia="仿宋_GB2312" w:cs="仿宋_GB2312"/>
          <w:sz w:val="30"/>
          <w:szCs w:val="30"/>
          <w:highlight w:val="none"/>
          <w:lang w:val="en-US" w:eastAsia="zh-CN"/>
        </w:rPr>
        <w:t>77</w:t>
      </w:r>
      <w:r>
        <w:rPr>
          <w:rFonts w:hint="eastAsia" w:ascii="Times New Roman" w:hAnsi="Times New Roman" w:eastAsia="仿宋_GB2312" w:cs="仿宋_GB2312"/>
          <w:sz w:val="30"/>
          <w:szCs w:val="30"/>
          <w:highlight w:val="none"/>
          <w:lang w:val="zh-CN"/>
        </w:rPr>
        <w:t>%；</w:t>
      </w:r>
    </w:p>
    <w:p w14:paraId="59BC1C2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99,575,610.02元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3.43%</w:t>
      </w:r>
      <w:r>
        <w:rPr>
          <w:rFonts w:hint="eastAsia" w:ascii="Times New Roman" w:hAnsi="Times New Roman" w:eastAsia="仿宋_GB2312" w:cs="仿宋_GB2312"/>
          <w:sz w:val="30"/>
          <w:szCs w:val="30"/>
          <w:highlight w:val="none"/>
          <w:lang w:val="zh-CN" w:eastAsia="zh-CN"/>
        </w:rPr>
        <w:t>。</w:t>
      </w:r>
    </w:p>
    <w:p w14:paraId="12B3A3A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2D6FFEFA">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2,966,170,481.12</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475,293,570.55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2023年医疗秩序恢复正常，事业收入增加，基本支出增加。</w:t>
      </w:r>
    </w:p>
    <w:p w14:paraId="3A69A6B4">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2,635,188,802.26元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88.84</w:t>
      </w:r>
      <w:r>
        <w:rPr>
          <w:rFonts w:hint="eastAsia" w:ascii="Times New Roman" w:hAnsi="Times New Roman" w:eastAsia="仿宋_GB2312" w:cs="仿宋_GB2312"/>
          <w:sz w:val="30"/>
          <w:szCs w:val="30"/>
          <w:highlight w:val="none"/>
          <w:lang w:eastAsia="zh-CN"/>
        </w:rPr>
        <w:t>%；</w:t>
      </w:r>
    </w:p>
    <w:p w14:paraId="1C421998">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330,981,678.86元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占11.16%。</w:t>
      </w:r>
    </w:p>
    <w:p w14:paraId="42FFEC1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555403F2">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天津中医药大学第一附属医院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197,441,716.32</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67,263,213.79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51.67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2023年有政府专项债拨款（天津中医药大学第一附属医院传承创新工程暨北院区提升改造工程）和一般债拨款（天津中医药大学第一附属医院（筹）建设项目-国家医学中心项目）。</w:t>
      </w:r>
    </w:p>
    <w:p w14:paraId="713760E9">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6518D931">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6370EC99">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计121,060,820.98元，占本年支出合计的4.08%，与2022年度相比，一般公共预算财政拨款支出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17,531,423.11元，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16.93%，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：2023年一般公共预算基本支出减少3,755,565.09 元，项目支出增加21,286,988.20 元。</w:t>
      </w:r>
    </w:p>
    <w:p w14:paraId="02F63470">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575F008B">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121,060,820.98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科学技术支出842,346.49元，占0.70%，社会保障和就业支出47,178,000.00元，占38.97%，卫生健康支出73,040,474.49元，占60.33%。</w:t>
      </w:r>
    </w:p>
    <w:p w14:paraId="5F041A40">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19D7C43B">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86,768,400.00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121,060,820.98</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139.52%</w:t>
      </w:r>
      <w:r>
        <w:rPr>
          <w:rFonts w:hint="eastAsia" w:ascii="Times New Roman" w:hAnsi="Times New Roman" w:eastAsia="仿宋_GB2312" w:cs="仿宋_GB2312"/>
          <w:kern w:val="0"/>
          <w:sz w:val="30"/>
          <w:szCs w:val="30"/>
          <w:highlight w:val="none"/>
        </w:rPr>
        <w:t>。其中：</w:t>
      </w:r>
    </w:p>
    <w:p w14:paraId="783F4466">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1.科学技术支出（类）其他科学技术支出（款）其他科学技术支出（项）年初预算为0元，</w:t>
      </w:r>
      <w:r>
        <w:rPr>
          <w:rFonts w:hint="eastAsia" w:ascii="Times New Roman" w:hAnsi="Times New Roman" w:eastAsia="仿宋_GB2312" w:cs="仿宋_GB2312"/>
          <w:kern w:val="0"/>
          <w:sz w:val="30"/>
          <w:szCs w:val="30"/>
          <w:highlight w:val="none"/>
        </w:rPr>
        <w:t>追加预算为</w:t>
      </w:r>
      <w:r>
        <w:rPr>
          <w:rFonts w:hint="eastAsia" w:ascii="Times New Roman" w:hAnsi="Times New Roman" w:eastAsia="仿宋_GB2312" w:cs="仿宋_GB2312"/>
          <w:sz w:val="30"/>
          <w:szCs w:val="30"/>
          <w:highlight w:val="none"/>
          <w:lang w:eastAsia="zh-CN"/>
        </w:rPr>
        <w:t>671,697.49</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支出决算为671,697.49元，决算数大于年初预算数的主要原因是年中追加预算。</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2.科学技术支出（类）基础研究（款）其他基础研究支出（项）年初预算为0元，</w:t>
      </w:r>
      <w:r>
        <w:rPr>
          <w:rFonts w:hint="eastAsia" w:ascii="Times New Roman" w:hAnsi="Times New Roman" w:eastAsia="仿宋_GB2312" w:cs="仿宋_GB2312"/>
          <w:kern w:val="0"/>
          <w:sz w:val="30"/>
          <w:szCs w:val="30"/>
          <w:highlight w:val="none"/>
        </w:rPr>
        <w:t>追加预算为</w:t>
      </w:r>
      <w:r>
        <w:rPr>
          <w:rFonts w:hint="eastAsia" w:ascii="Times New Roman" w:hAnsi="Times New Roman" w:eastAsia="仿宋_GB2312" w:cs="仿宋_GB2312"/>
          <w:sz w:val="30"/>
          <w:szCs w:val="30"/>
          <w:highlight w:val="none"/>
          <w:lang w:eastAsia="zh-CN"/>
        </w:rPr>
        <w:t>170,649.00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支出决算为170,649.00元，决算数大于年初预算数的主要原因是年中追加预算。</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3.社会保障和就业支出（类）行政事业单位养老支出（款）机关事业单位基本养老保险缴费支出（项）年初预算为31,452,000.00元，支出决算为31,452,000.00元，完成年初预算的100%，决算数与年初预算数持平。</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4.社会保障和就业支出（类）行政事业单位养老支出（款）机关事业单位职业年金缴费支出（项）年初预算为15,726,000.00元，支出决算为15,726,000.00元，完成年初预算的100.00%，决算数与年初预算数持平。</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5.卫生健康支出（类）公立医院（款）综合医院（项）年初预算为0元，</w:t>
      </w:r>
      <w:r>
        <w:rPr>
          <w:rFonts w:hint="eastAsia" w:ascii="Times New Roman" w:hAnsi="Times New Roman" w:eastAsia="仿宋_GB2312" w:cs="仿宋_GB2312"/>
          <w:kern w:val="0"/>
          <w:sz w:val="30"/>
          <w:szCs w:val="30"/>
          <w:highlight w:val="none"/>
        </w:rPr>
        <w:t>追加预算为</w:t>
      </w:r>
      <w:r>
        <w:rPr>
          <w:rFonts w:hint="eastAsia" w:ascii="Times New Roman" w:hAnsi="Times New Roman" w:eastAsia="仿宋_GB2312" w:cs="仿宋_GB2312"/>
          <w:sz w:val="30"/>
          <w:szCs w:val="30"/>
          <w:highlight w:val="none"/>
          <w:lang w:eastAsia="zh-CN"/>
        </w:rPr>
        <w:t>1,585,017.00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支出决算为1,585,017.00元，决算数大于年初预算数的主要原因是年中追加预算，包括新冠病毒感染疫情救治能力提升项目（可转换ICU项目）——01中央直达、卫生健康对口帮扶援疆援藏援甘等帮扶、儿科诊疗人员慰问补助的专项拨款。</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6.卫生健康支出（类）公立医院（款）中医（民族）医院（项）年初预算为16,711,400.00元，支出决算为42,217,787.79元，完成年初预算的252.63%，决算数大于年初预算数的主要原因是年中追加天津中医药大学第一附属医院（筹）建设项目——2023年一般债券25,174,100.00元。</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7.卫生健康支出（类）公共卫生（款）突发公共卫生事件应急处理（项）年初预算为0元，</w:t>
      </w:r>
      <w:r>
        <w:rPr>
          <w:rFonts w:hint="eastAsia" w:ascii="Times New Roman" w:hAnsi="Times New Roman" w:eastAsia="仿宋_GB2312" w:cs="仿宋_GB2312"/>
          <w:kern w:val="0"/>
          <w:sz w:val="30"/>
          <w:szCs w:val="30"/>
          <w:highlight w:val="none"/>
        </w:rPr>
        <w:t>追加预算为</w:t>
      </w:r>
      <w:r>
        <w:rPr>
          <w:rFonts w:hint="eastAsia" w:ascii="Times New Roman" w:hAnsi="Times New Roman" w:eastAsia="仿宋_GB2312" w:cs="仿宋_GB2312"/>
          <w:sz w:val="30"/>
          <w:szCs w:val="30"/>
          <w:highlight w:val="none"/>
          <w:lang w:eastAsia="zh-CN"/>
        </w:rPr>
        <w:t>3,255,750.00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支出决算为3,255,750.00元，决算数大于年初预算数的主要原因是年中追加预算包括新冠病毒感染疫情救治能力提升项目（可转换ICU项目）、医务人员临时性工作补助资金。</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8.卫生健康支出（类）公共卫生（款）基本公共卫生服务（项）年初预算为30,000.00元，支出决算为30,000.00元，完成年初预算的100%，决算数与年初预算数持平。</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9.卫生健康支出（类）公共卫生（款）重大公共卫生服务（项）年初预算为15,000.00元，支出决算为11,600.00元，完成年初预算的77.33%，决算数小于年初预算数的主要原因是2023年疫情结束，重大传染病疫情防控经费(2023年中央专项)执行受到限制进而影响预算完成率。</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10.卫生健康支出（类）中医药（款）中医（民族医）药专项（项）年初预算为13,810,000.00元，支出决算为16,928,743.59元，完成年初预算的122.58%，决算数大于年初预算数的主要原因是年中追加预算包括中医药事业传承与发展-01中央直达资金-2022年医疗服务与保障能力提升补助资金、住院医师规范化培训-01中央直达资金-2023年医疗服务与保障能力提升补助资金(第二批）。</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11.卫生健康支出（类）行政事业单位医疗（款）事业单位医疗（项）年初预算为6,602,000.00元，支出决算为6,589,576.11元，完成年初预算的99.81%，决算数小于年初预算数的主要原因是根据实际情况</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离退休</w:t>
      </w:r>
      <w:r>
        <w:rPr>
          <w:rFonts w:hint="eastAsia" w:ascii="Times New Roman" w:hAnsi="Times New Roman" w:eastAsia="仿宋_GB2312" w:cs="仿宋_GB2312"/>
          <w:sz w:val="30"/>
          <w:szCs w:val="30"/>
          <w:highlight w:val="none"/>
          <w:lang w:eastAsia="zh-CN"/>
        </w:rPr>
        <w:t>医疗支出（医疗费补助）未完全支出。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eastAsia="zh-CN"/>
        </w:rPr>
        <w:t>12.卫生健康支出（类）行政事业单位医疗（款）其他行政事业单位医疗支出（项）年初预算为2,422,000.00元，支出决算为2,422,000.00元，完成年初预算的100.00%，决算数与年初预算数持平。</w:t>
      </w:r>
    </w:p>
    <w:p w14:paraId="299C156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7B7DC8EB">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天津中医药大学第一附属医院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62,616,584.11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3,755,565.09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2023年人员经费拨款减少3,734,065.09 元，公用经费拨款减少21,500.00 元。</w:t>
      </w:r>
      <w:r>
        <w:rPr>
          <w:rFonts w:hint="eastAsia" w:ascii="Times New Roman" w:hAnsi="Times New Roman" w:eastAsia="仿宋_GB2312" w:cs="仿宋_GB2312"/>
          <w:kern w:val="0"/>
          <w:sz w:val="30"/>
          <w:szCs w:val="30"/>
          <w:highlight w:val="none"/>
        </w:rPr>
        <w:t>其中：</w:t>
      </w:r>
    </w:p>
    <w:p w14:paraId="7DFFBEB8">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61,889,084.11</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w:t>
      </w:r>
      <w:r>
        <w:rPr>
          <w:rFonts w:hint="eastAsia" w:ascii="Times New Roman" w:hAnsi="Times New Roman" w:eastAsia="仿宋_GB2312" w:cs="仿宋_GB2312"/>
          <w:color w:val="000000" w:themeColor="text1"/>
          <w:kern w:val="0"/>
          <w:sz w:val="30"/>
          <w:szCs w:val="30"/>
          <w:highlight w:val="none"/>
          <w:lang w:eastAsia="zh-CN"/>
          <w14:textFill>
            <w14:solidFill>
              <w14:schemeClr w14:val="tx1"/>
            </w14:solidFill>
          </w14:textFill>
        </w:rPr>
        <w:t>主要包括</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机</w:t>
      </w:r>
      <w:r>
        <w:rPr>
          <w:rFonts w:hint="eastAsia" w:ascii="Times New Roman" w:hAnsi="Times New Roman" w:eastAsia="仿宋_GB2312" w:cs="仿宋_GB2312"/>
          <w:sz w:val="30"/>
          <w:szCs w:val="30"/>
          <w:highlight w:val="none"/>
          <w:lang w:eastAsia="zh-CN"/>
        </w:rPr>
        <w:t>关事业单位基本养老保险缴费、机关事业单位职业年金缴费、职工基本医疗保险缴费、其他社会保障缴费、医疗费、退休费、医疗费补助。</w:t>
      </w:r>
    </w:p>
    <w:p w14:paraId="5A9A98DA">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727,500.00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color w:val="000000" w:themeColor="text1"/>
          <w:kern w:val="0"/>
          <w:sz w:val="30"/>
          <w:szCs w:val="30"/>
          <w:highlight w:val="none"/>
          <w:lang w:eastAsia="zh-CN"/>
          <w14:textFill>
            <w14:solidFill>
              <w14:schemeClr w14:val="tx1"/>
            </w14:solidFill>
          </w14:textFill>
        </w:rPr>
        <w:t>主要包括</w:t>
      </w:r>
      <w:r>
        <w:rPr>
          <w:rFonts w:hint="eastAsia" w:ascii="Times New Roman" w:hAnsi="Times New Roman" w:eastAsia="仿宋_GB2312" w:cs="仿宋_GB2312"/>
          <w:sz w:val="30"/>
          <w:szCs w:val="30"/>
          <w:highlight w:val="none"/>
          <w:lang w:eastAsia="zh-CN"/>
        </w:rPr>
        <w:t>取暖费、福利费。</w:t>
      </w:r>
    </w:p>
    <w:p w14:paraId="555C802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6C90026D">
      <w:pPr>
        <w:autoSpaceDE w:val="0"/>
        <w:autoSpaceDN w:val="0"/>
        <w:adjustRightInd w:val="0"/>
        <w:spacing w:line="58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天津中医药大学第一附属医院</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年度部门决算政府性基金预算财政拨款</w:t>
      </w:r>
      <w:r>
        <w:rPr>
          <w:rFonts w:hint="eastAsia" w:ascii="Times New Roman" w:hAnsi="Times New Roman" w:eastAsia="仿宋_GB2312" w:cs="仿宋_GB2312"/>
          <w:kern w:val="0"/>
          <w:sz w:val="30"/>
          <w:szCs w:val="30"/>
          <w:highlight w:val="none"/>
        </w:rPr>
        <w:t>年初结转和结余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元，收入</w:t>
      </w:r>
      <w:r>
        <w:rPr>
          <w:rFonts w:hint="eastAsia" w:ascii="Times New Roman" w:hAnsi="Times New Roman" w:eastAsia="仿宋_GB2312" w:cs="Times New Roman"/>
          <w:sz w:val="30"/>
          <w:szCs w:val="30"/>
          <w:highlight w:val="none"/>
          <w:lang w:eastAsia="zh-CN"/>
        </w:rPr>
        <w:t>76,380,895.</w:t>
      </w:r>
      <w:bookmarkStart w:id="0" w:name="_GoBack"/>
      <w:bookmarkEnd w:id="0"/>
      <w:r>
        <w:rPr>
          <w:rFonts w:hint="eastAsia" w:ascii="Times New Roman" w:hAnsi="Times New Roman" w:eastAsia="仿宋_GB2312" w:cs="Times New Roman"/>
          <w:sz w:val="30"/>
          <w:szCs w:val="30"/>
          <w:highlight w:val="none"/>
          <w:lang w:eastAsia="zh-CN"/>
        </w:rPr>
        <w:t>34</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支出</w:t>
      </w:r>
      <w:r>
        <w:rPr>
          <w:rFonts w:hint="eastAsia" w:ascii="Times New Roman" w:hAnsi="Times New Roman" w:eastAsia="仿宋_GB2312" w:cs="Times New Roman"/>
          <w:sz w:val="30"/>
          <w:szCs w:val="30"/>
          <w:highlight w:val="none"/>
          <w:lang w:eastAsia="zh-CN"/>
        </w:rPr>
        <w:t>76,380,895.34</w:t>
      </w:r>
      <w:r>
        <w:rPr>
          <w:rFonts w:hint="eastAsia" w:ascii="Times New Roman" w:hAnsi="Times New Roman" w:eastAsia="仿宋_GB2312" w:cs="仿宋_GB2312"/>
          <w:sz w:val="30"/>
          <w:szCs w:val="30"/>
          <w:highlight w:val="none"/>
        </w:rPr>
        <w:t>元，年末结转和结余</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年度相比，政府性基金财政拨款支出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49,731,790.68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186.62%</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lang w:val="zh-CN"/>
        </w:rPr>
        <w:t>：</w:t>
      </w:r>
      <w:r>
        <w:rPr>
          <w:rFonts w:hint="eastAsia" w:ascii="Times New Roman" w:hAnsi="Times New Roman" w:eastAsia="仿宋_GB2312" w:cs="仿宋_GB2312"/>
          <w:sz w:val="30"/>
          <w:szCs w:val="30"/>
          <w:highlight w:val="none"/>
          <w:lang w:eastAsia="zh-CN"/>
        </w:rPr>
        <w:t>2023年其他地方自行试点项目收益专项债券收入安排的支出增加46,701,790.68元， 其他地方自行试点项目收益专项债券付息支出增加3,030,000.00 元。</w:t>
      </w:r>
    </w:p>
    <w:p w14:paraId="16337D7A">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6FE15D6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天津中医药大学第一附属医院2023年度无国有资本经营预算财政拨款收入、支出和结转结余。</w:t>
      </w:r>
    </w:p>
    <w:p w14:paraId="11EAE94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140E1549">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3697526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本年度未用财政拨款经费列支“三公”经费预算。</w:t>
      </w:r>
    </w:p>
    <w:p w14:paraId="40F90A6E">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776C78CB">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14:paraId="0E5F2F0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42EB1CA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w:t>
      </w:r>
      <w:r>
        <w:rPr>
          <w:rFonts w:hint="eastAsia" w:ascii="Times New Roman" w:hAnsi="Times New Roman" w:eastAsia="仿宋_GB2312" w:cs="仿宋_GB2312"/>
          <w:kern w:val="0"/>
          <w:sz w:val="30"/>
          <w:szCs w:val="30"/>
          <w:highlight w:val="none"/>
        </w:rPr>
        <w:t>公务用车购置及运行维护费</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其中：</w:t>
      </w:r>
    </w:p>
    <w:p w14:paraId="58E2ACD3">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p>
    <w:p w14:paraId="06862789">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5AF4C7CD">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14:paraId="6E019FF6">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01498A02">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14:paraId="01661322">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5B65BC7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46AA83C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天津中医药大学第一附属医院2023年度无机关运行经费。</w:t>
      </w:r>
    </w:p>
    <w:p w14:paraId="03B97FD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0BB41B06">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天津中医药大学第一附属医院</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693,701,185.28</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42,180,985.20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613,943,377.00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37,576,823.08</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63,516,367.68</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9.16%</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54,092,599.48</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7.8%</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56.78</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0C417EB9">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23BAD0C5">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天津中医药大学第一附属医院</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16</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2</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2</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1</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11</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后勤服务用车2辆、业务用车4辆、班车2辆、待报废3辆</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116</w:t>
      </w:r>
      <w:r>
        <w:rPr>
          <w:rFonts w:hint="eastAsia" w:ascii="Times New Roman" w:hAnsi="Times New Roman" w:eastAsia="仿宋_GB2312" w:cs="仿宋_GB2312"/>
          <w:kern w:val="0"/>
          <w:sz w:val="30"/>
          <w:szCs w:val="30"/>
          <w:highlight w:val="none"/>
        </w:rPr>
        <w:t>台（套）。</w:t>
      </w:r>
    </w:p>
    <w:p w14:paraId="40C1AC95">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74C0D4F0">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根据预算绩效管理要求，天津中医药大学第附属医院2023年度已对2</w:t>
      </w:r>
      <w:r>
        <w:rPr>
          <w:rFonts w:hint="eastAsia" w:ascii="Times New Roman" w:hAnsi="Times New Roman" w:eastAsia="仿宋_GB2312" w:cs="仿宋_GB2312"/>
          <w:sz w:val="30"/>
          <w:szCs w:val="30"/>
          <w:highlight w:val="none"/>
          <w:lang w:val="en-US" w:eastAsia="zh-CN"/>
        </w:rPr>
        <w:t>1</w:t>
      </w:r>
      <w:r>
        <w:rPr>
          <w:rFonts w:hint="eastAsia" w:ascii="Times New Roman" w:hAnsi="Times New Roman" w:eastAsia="仿宋_GB2312" w:cs="仿宋_GB2312"/>
          <w:sz w:val="30"/>
          <w:szCs w:val="30"/>
          <w:highlight w:val="none"/>
          <w:lang w:eastAsia="zh-CN"/>
        </w:rPr>
        <w:t>个市级项目开展绩效自评，涉及金额 123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394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967.00元，自评结果已随部门决算一并公开。</w:t>
      </w:r>
    </w:p>
    <w:p w14:paraId="299A458B">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0D9AF688">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天津中医药大学第一附属医院不属于乡、镇、街级单位，不涉及公开2023年度教育、医疗卫生、社会保障和就业、住房保障、涉农补贴等民生支出情况。</w:t>
      </w:r>
    </w:p>
    <w:p w14:paraId="6D7174E6">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134B9C5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5175C433">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1D8EAC40">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1D3DE1D">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6EA9F2F">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36CA8-ACEB-4F0E-826D-2DB3EE25A8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1B2A7FAE-D539-4BC9-8E86-A7B4204E5944}"/>
  </w:font>
  <w:font w:name="方正小标宋简体">
    <w:panose1 w:val="02000000000000000000"/>
    <w:charset w:val="86"/>
    <w:family w:val="auto"/>
    <w:pitch w:val="default"/>
    <w:sig w:usb0="00000001" w:usb1="08000000" w:usb2="00000000" w:usb3="00000000" w:csb0="00040000" w:csb1="00000000"/>
    <w:embedRegular r:id="rId3" w:fontKey="{AF4D2BB3-735B-430B-919F-612DA714366A}"/>
  </w:font>
  <w:font w:name="仿宋_GB2312">
    <w:panose1 w:val="02010609030101010101"/>
    <w:charset w:val="86"/>
    <w:family w:val="modern"/>
    <w:pitch w:val="default"/>
    <w:sig w:usb0="00000001" w:usb1="080E0000" w:usb2="00000000" w:usb3="00000000" w:csb0="00040000" w:csb1="00000000"/>
    <w:embedRegular r:id="rId4" w:fontKey="{7988AFE7-11E2-484E-9CF8-A351F76AAE32}"/>
  </w:font>
  <w:font w:name="楷体">
    <w:panose1 w:val="02010609060101010101"/>
    <w:charset w:val="86"/>
    <w:family w:val="modern"/>
    <w:pitch w:val="default"/>
    <w:sig w:usb0="800002BF" w:usb1="38CF7CFA" w:usb2="00000016" w:usb3="00000000" w:csb0="00040001" w:csb1="00000000"/>
    <w:embedRegular r:id="rId5" w:fontKey="{1B4BB6B1-DE2E-48BF-8950-68CEB1B8E8E0}"/>
  </w:font>
  <w:font w:name="楷体_GB2312">
    <w:altName w:val="楷体"/>
    <w:panose1 w:val="02010609030101010101"/>
    <w:charset w:val="86"/>
    <w:family w:val="modern"/>
    <w:pitch w:val="default"/>
    <w:sig w:usb0="00000000" w:usb1="00000000" w:usb2="00000000" w:usb3="00000000" w:csb0="00040000" w:csb1="00000000"/>
    <w:embedRegular r:id="rId6" w:fontKey="{08A9794C-A79E-4302-A9E3-046B42B67888}"/>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NGRjZTA2NGEzMGE4YTM0MjU1OGY4OTk5NzM2Mm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2B05971"/>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A64FE5"/>
    <w:rsid w:val="0FC42B69"/>
    <w:rsid w:val="0FF22FB9"/>
    <w:rsid w:val="118916FB"/>
    <w:rsid w:val="11B06C88"/>
    <w:rsid w:val="1221675E"/>
    <w:rsid w:val="12C34799"/>
    <w:rsid w:val="12D93FBD"/>
    <w:rsid w:val="13463246"/>
    <w:rsid w:val="13854D9B"/>
    <w:rsid w:val="142D4C1F"/>
    <w:rsid w:val="15F1161D"/>
    <w:rsid w:val="161D1413"/>
    <w:rsid w:val="1666200B"/>
    <w:rsid w:val="16C5644A"/>
    <w:rsid w:val="16D76A65"/>
    <w:rsid w:val="17C84C4C"/>
    <w:rsid w:val="18F2402A"/>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453733"/>
    <w:rsid w:val="25BA7C7E"/>
    <w:rsid w:val="261A7AF4"/>
    <w:rsid w:val="2666570F"/>
    <w:rsid w:val="26DB4B05"/>
    <w:rsid w:val="271B299E"/>
    <w:rsid w:val="27DD7C53"/>
    <w:rsid w:val="284E3F62"/>
    <w:rsid w:val="28612632"/>
    <w:rsid w:val="2A924D25"/>
    <w:rsid w:val="2BC20F83"/>
    <w:rsid w:val="2C800474"/>
    <w:rsid w:val="2C8F0671"/>
    <w:rsid w:val="2D4B38B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8DB01DF"/>
    <w:rsid w:val="3AF76503"/>
    <w:rsid w:val="3B0209DD"/>
    <w:rsid w:val="3B0C198B"/>
    <w:rsid w:val="3B483C6E"/>
    <w:rsid w:val="3B776F10"/>
    <w:rsid w:val="3B7C7A57"/>
    <w:rsid w:val="3B8E1539"/>
    <w:rsid w:val="3D172E05"/>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89719B"/>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DF3E21"/>
    <w:rsid w:val="58E93DFA"/>
    <w:rsid w:val="599E4BE5"/>
    <w:rsid w:val="5A1C0F73"/>
    <w:rsid w:val="5A964C59"/>
    <w:rsid w:val="5C170425"/>
    <w:rsid w:val="5CD56B70"/>
    <w:rsid w:val="5CD612EB"/>
    <w:rsid w:val="5D032E6E"/>
    <w:rsid w:val="5DC03100"/>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54C8"/>
    <w:rsid w:val="68C169D0"/>
    <w:rsid w:val="6B4F5D3F"/>
    <w:rsid w:val="6B963EB9"/>
    <w:rsid w:val="6BBB51FE"/>
    <w:rsid w:val="6BF54B38"/>
    <w:rsid w:val="6C054650"/>
    <w:rsid w:val="6C1D5E3D"/>
    <w:rsid w:val="6C2D34CB"/>
    <w:rsid w:val="6CF70A69"/>
    <w:rsid w:val="6CFE17CB"/>
    <w:rsid w:val="6D5E0469"/>
    <w:rsid w:val="6D854C1A"/>
    <w:rsid w:val="6E080CF4"/>
    <w:rsid w:val="6EB34837"/>
    <w:rsid w:val="6F4302B8"/>
    <w:rsid w:val="70180DF5"/>
    <w:rsid w:val="704716DB"/>
    <w:rsid w:val="708821B4"/>
    <w:rsid w:val="708C6A78"/>
    <w:rsid w:val="70E84C6C"/>
    <w:rsid w:val="70FE35D3"/>
    <w:rsid w:val="71600CA6"/>
    <w:rsid w:val="7260119C"/>
    <w:rsid w:val="72701CEB"/>
    <w:rsid w:val="72B3615B"/>
    <w:rsid w:val="73724CC1"/>
    <w:rsid w:val="7455465F"/>
    <w:rsid w:val="75471096"/>
    <w:rsid w:val="75AB44BA"/>
    <w:rsid w:val="79B7155B"/>
    <w:rsid w:val="79DC07A5"/>
    <w:rsid w:val="7ACA53E2"/>
    <w:rsid w:val="7B143565"/>
    <w:rsid w:val="7E2E7A36"/>
    <w:rsid w:val="7E6F24BB"/>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4964</Words>
  <Characters>6113</Characters>
  <Lines>82</Lines>
  <Paragraphs>23</Paragraphs>
  <TotalTime>3</TotalTime>
  <ScaleCrop>false</ScaleCrop>
  <LinksUpToDate>false</LinksUpToDate>
  <CharactersWithSpaces>6143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一附院宣传处</cp:lastModifiedBy>
  <dcterms:modified xsi:type="dcterms:W3CDTF">2024-09-14T03:22:42Z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A44E0A178634409BBBA50D5636087390_13</vt:lpwstr>
  </property>
</Properties>
</file>